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A0" w:rsidRDefault="00CB4EA0" w:rsidP="00CB4EA0">
      <w:pPr>
        <w:pStyle w:val="BodyText"/>
        <w:spacing w:before="1" w:line="276" w:lineRule="auto"/>
        <w:ind w:left="920" w:right="837"/>
        <w:jc w:val="both"/>
      </w:pPr>
      <w:r>
        <w:t>Qendra e Trajnimit të Administratës Tatimore dhe Doganore është një instuticion varësie nga Ministria e Financave dhe Ekonomisë e cila ka në thelb trajnimin e punonjësve të Administratës Tatimore</w:t>
      </w:r>
      <w:r>
        <w:rPr>
          <w:spacing w:val="-12"/>
        </w:rPr>
        <w:t xml:space="preserve"> </w:t>
      </w:r>
      <w:r>
        <w:t>dhe</w:t>
      </w:r>
      <w:r>
        <w:rPr>
          <w:spacing w:val="-12"/>
        </w:rPr>
        <w:t xml:space="preserve"> </w:t>
      </w:r>
      <w:r>
        <w:t>Doganore.</w:t>
      </w:r>
      <w:r>
        <w:rPr>
          <w:spacing w:val="-8"/>
        </w:rPr>
        <w:t xml:space="preserve"> </w:t>
      </w:r>
      <w:r>
        <w:t>QTATD</w:t>
      </w:r>
      <w:r>
        <w:rPr>
          <w:spacing w:val="-11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lidhje</w:t>
      </w:r>
      <w:r>
        <w:rPr>
          <w:spacing w:val="-1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performancën</w:t>
      </w:r>
      <w:r>
        <w:rPr>
          <w:spacing w:val="-11"/>
        </w:rPr>
        <w:t xml:space="preserve"> </w:t>
      </w:r>
      <w:r>
        <w:t>financiare</w:t>
      </w:r>
      <w:r>
        <w:rPr>
          <w:spacing w:val="-12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buxhetore,</w:t>
      </w:r>
      <w:r>
        <w:rPr>
          <w:spacing w:val="-11"/>
        </w:rPr>
        <w:t xml:space="preserve"> </w:t>
      </w:r>
      <w:r>
        <w:t>ka</w:t>
      </w:r>
      <w:r>
        <w:rPr>
          <w:spacing w:val="-12"/>
        </w:rPr>
        <w:t xml:space="preserve"> </w:t>
      </w:r>
      <w:r>
        <w:t>vepruar me korrektësi në zbatim të Ligjit Nr.115/2021 “Për buxhetin e vitit 2022”, Udhëzimit plotësues Nr.1, datë 10.01.2022 “Për zbatimin e buxhetit 2022, Udhëzimit plotësues nr.9, datë 20.03.2018 “Për procedurat standarte të zbatimit të zbatimit të buxhetit”, si dhe ligjit Nr. 10296 datë 08.07.2010 “Për menaxhimin financiar dhe kontrollin financiar”.</w:t>
      </w:r>
    </w:p>
    <w:p w:rsidR="00CB4EA0" w:rsidRDefault="00CB4EA0" w:rsidP="00CB4EA0">
      <w:pPr>
        <w:pStyle w:val="BodyText"/>
        <w:spacing w:before="162" w:line="273" w:lineRule="auto"/>
        <w:ind w:left="920" w:right="836"/>
        <w:jc w:val="both"/>
      </w:pPr>
      <w:r>
        <w:rPr>
          <w:spacing w:val="-2"/>
        </w:rPr>
        <w:t>Në</w:t>
      </w:r>
      <w:r>
        <w:rPr>
          <w:spacing w:val="-4"/>
        </w:rPr>
        <w:t xml:space="preserve"> </w:t>
      </w:r>
      <w:r>
        <w:rPr>
          <w:spacing w:val="-2"/>
        </w:rPr>
        <w:t>mbështetje</w:t>
      </w:r>
      <w:r>
        <w:rPr>
          <w:spacing w:val="-4"/>
        </w:rPr>
        <w:t xml:space="preserve"> </w:t>
      </w:r>
      <w:r>
        <w:rPr>
          <w:spacing w:val="-2"/>
        </w:rPr>
        <w:t>të këtyre</w:t>
      </w:r>
      <w:r>
        <w:rPr>
          <w:spacing w:val="-5"/>
        </w:rPr>
        <w:t xml:space="preserve"> </w:t>
      </w:r>
      <w:r>
        <w:rPr>
          <w:spacing w:val="-2"/>
        </w:rPr>
        <w:t>ligjeve</w:t>
      </w:r>
      <w:r>
        <w:rPr>
          <w:spacing w:val="-4"/>
        </w:rPr>
        <w:t xml:space="preserve"> </w:t>
      </w:r>
      <w:r>
        <w:rPr>
          <w:spacing w:val="-2"/>
        </w:rPr>
        <w:t>është miratuar “Planifikim, Menaxhim,</w:t>
      </w:r>
      <w:r>
        <w:rPr>
          <w:spacing w:val="-5"/>
        </w:rPr>
        <w:t xml:space="preserve"> </w:t>
      </w:r>
      <w:r>
        <w:rPr>
          <w:spacing w:val="-2"/>
        </w:rPr>
        <w:t>Administrim”</w:t>
      </w:r>
      <w:r>
        <w:rPr>
          <w:spacing w:val="-4"/>
        </w:rPr>
        <w:t xml:space="preserve"> </w:t>
      </w:r>
      <w:r>
        <w:rPr>
          <w:spacing w:val="-2"/>
        </w:rPr>
        <w:t xml:space="preserve">ku përfshihet </w:t>
      </w:r>
      <w:r>
        <w:t>i</w:t>
      </w:r>
      <w:r>
        <w:rPr>
          <w:spacing w:val="-14"/>
        </w:rPr>
        <w:t xml:space="preserve"> </w:t>
      </w:r>
      <w:r>
        <w:t>gjithë</w:t>
      </w:r>
      <w:r>
        <w:rPr>
          <w:spacing w:val="-11"/>
        </w:rPr>
        <w:t xml:space="preserve"> </w:t>
      </w:r>
      <w:r>
        <w:t>buxheti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akorduar</w:t>
      </w:r>
      <w:r>
        <w:rPr>
          <w:spacing w:val="-10"/>
        </w:rPr>
        <w:t xml:space="preserve"> </w:t>
      </w:r>
      <w:r>
        <w:t>për</w:t>
      </w:r>
      <w:r>
        <w:rPr>
          <w:spacing w:val="-12"/>
        </w:rPr>
        <w:t xml:space="preserve"> </w:t>
      </w:r>
      <w:r>
        <w:t>funksionimin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aktivitetit</w:t>
      </w:r>
      <w:r>
        <w:rPr>
          <w:spacing w:val="-10"/>
        </w:rPr>
        <w:t xml:space="preserve"> </w:t>
      </w:r>
      <w:r>
        <w:t>dhe</w:t>
      </w:r>
      <w:r>
        <w:rPr>
          <w:spacing w:val="-12"/>
        </w:rPr>
        <w:t xml:space="preserve"> </w:t>
      </w:r>
      <w:r>
        <w:t>ushtrimit</w:t>
      </w:r>
      <w:r>
        <w:rPr>
          <w:spacing w:val="-1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kompetencave</w:t>
      </w:r>
      <w:r>
        <w:rPr>
          <w:spacing w:val="-12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rPr>
          <w:spacing w:val="-2"/>
        </w:rPr>
        <w:t>Qendrës.</w:t>
      </w:r>
    </w:p>
    <w:p w:rsidR="00CB4EA0" w:rsidRDefault="00CB4EA0" w:rsidP="00CB4EA0">
      <w:pPr>
        <w:pStyle w:val="BodyText"/>
        <w:spacing w:before="165" w:line="273" w:lineRule="auto"/>
        <w:ind w:left="920" w:right="834"/>
        <w:jc w:val="both"/>
      </w:pPr>
      <w:r>
        <w:t>Në zbatim të Udhëzimit plotësues nr.1, datë 10.01.2022 “Për zbatimin e buxhetit 2022”, ju raportojmë</w:t>
      </w:r>
      <w:r>
        <w:rPr>
          <w:spacing w:val="-8"/>
        </w:rPr>
        <w:t xml:space="preserve"> </w:t>
      </w:r>
      <w:r>
        <w:t>mbi</w:t>
      </w:r>
      <w:r>
        <w:rPr>
          <w:spacing w:val="-6"/>
        </w:rPr>
        <w:t xml:space="preserve"> </w:t>
      </w:r>
      <w:r>
        <w:t>perfomancën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produkteve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buxhetit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sasi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vlerë</w:t>
      </w:r>
      <w:r>
        <w:rPr>
          <w:spacing w:val="-9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periudhën</w:t>
      </w:r>
      <w:r>
        <w:rPr>
          <w:spacing w:val="-7"/>
        </w:rPr>
        <w:t xml:space="preserve"> </w:t>
      </w:r>
      <w:r>
        <w:t>Janar</w:t>
      </w:r>
      <w:r>
        <w:rPr>
          <w:spacing w:val="-8"/>
        </w:rPr>
        <w:t xml:space="preserve"> </w:t>
      </w:r>
      <w:r>
        <w:t xml:space="preserve">-Dhjetor </w:t>
      </w:r>
      <w:r>
        <w:rPr>
          <w:spacing w:val="-2"/>
        </w:rPr>
        <w:t>2022,</w:t>
      </w:r>
    </w:p>
    <w:p w:rsidR="00CB4EA0" w:rsidRDefault="00CB4EA0" w:rsidP="00CB4EA0">
      <w:pPr>
        <w:pStyle w:val="BodyText"/>
        <w:spacing w:before="167" w:line="276" w:lineRule="auto"/>
        <w:ind w:left="920" w:right="840"/>
        <w:jc w:val="both"/>
      </w:pPr>
      <w:r>
        <w:t>Për QTATD-në është akorduar një fond i planifikuar prej 12 800 000(në mijë lekë) të cilat përbëhen nga:</w:t>
      </w:r>
    </w:p>
    <w:p w:rsidR="00CB4EA0" w:rsidRDefault="00CB4EA0" w:rsidP="00CB4EA0">
      <w:pPr>
        <w:pStyle w:val="BodyText"/>
        <w:ind w:left="0"/>
        <w:rPr>
          <w:sz w:val="15"/>
        </w:rPr>
      </w:pP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1321"/>
      </w:tblGrid>
      <w:tr w:rsidR="00CB4EA0" w:rsidTr="00EB3014">
        <w:trPr>
          <w:trHeight w:val="371"/>
        </w:trPr>
        <w:tc>
          <w:tcPr>
            <w:tcW w:w="3987" w:type="dxa"/>
          </w:tcPr>
          <w:p w:rsidR="00CB4EA0" w:rsidRDefault="00CB4EA0" w:rsidP="00EB3014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Fondi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(600)</w:t>
            </w:r>
          </w:p>
        </w:tc>
        <w:tc>
          <w:tcPr>
            <w:tcW w:w="1321" w:type="dxa"/>
          </w:tcPr>
          <w:p w:rsidR="00CB4EA0" w:rsidRDefault="00CB4EA0" w:rsidP="00EB3014">
            <w:pPr>
              <w:pStyle w:val="TableParagraph"/>
              <w:spacing w:line="26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10 285 </w:t>
            </w:r>
            <w:r>
              <w:rPr>
                <w:b/>
                <w:spacing w:val="-5"/>
                <w:sz w:val="24"/>
              </w:rPr>
              <w:t>000</w:t>
            </w:r>
          </w:p>
        </w:tc>
      </w:tr>
      <w:tr w:rsidR="00CB4EA0" w:rsidTr="00EB3014">
        <w:trPr>
          <w:trHeight w:val="477"/>
        </w:trPr>
        <w:tc>
          <w:tcPr>
            <w:tcW w:w="3987" w:type="dxa"/>
          </w:tcPr>
          <w:p w:rsidR="00CB4EA0" w:rsidRDefault="00CB4EA0" w:rsidP="00EB3014">
            <w:pPr>
              <w:pStyle w:val="TableParagraph"/>
              <w:spacing w:before="9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Fondi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 sigurimeve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shoqerore</w:t>
            </w:r>
            <w:r>
              <w:rPr>
                <w:b/>
                <w:spacing w:val="-2"/>
                <w:sz w:val="24"/>
              </w:rPr>
              <w:t xml:space="preserve"> (601)</w:t>
            </w:r>
          </w:p>
        </w:tc>
        <w:tc>
          <w:tcPr>
            <w:tcW w:w="1321" w:type="dxa"/>
          </w:tcPr>
          <w:p w:rsidR="00CB4EA0" w:rsidRDefault="00CB4EA0" w:rsidP="00EB3014">
            <w:pPr>
              <w:pStyle w:val="TableParagraph"/>
              <w:spacing w:before="95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1 815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</w:tr>
      <w:tr w:rsidR="00CB4EA0" w:rsidTr="00EB3014">
        <w:trPr>
          <w:trHeight w:val="371"/>
        </w:trPr>
        <w:tc>
          <w:tcPr>
            <w:tcW w:w="3987" w:type="dxa"/>
          </w:tcPr>
          <w:p w:rsidR="00CB4EA0" w:rsidRDefault="00CB4EA0" w:rsidP="00EB3014">
            <w:pPr>
              <w:pStyle w:val="TableParagraph"/>
              <w:spacing w:before="9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Fondi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shpenzime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operative</w:t>
            </w:r>
            <w:r>
              <w:rPr>
                <w:b/>
                <w:spacing w:val="-2"/>
                <w:sz w:val="24"/>
              </w:rPr>
              <w:t xml:space="preserve"> (602)</w:t>
            </w:r>
          </w:p>
        </w:tc>
        <w:tc>
          <w:tcPr>
            <w:tcW w:w="1321" w:type="dxa"/>
          </w:tcPr>
          <w:p w:rsidR="00CB4EA0" w:rsidRDefault="00CB4EA0" w:rsidP="00EB3014">
            <w:pPr>
              <w:pStyle w:val="TableParagraph"/>
              <w:spacing w:before="96" w:line="256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700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</w:tr>
    </w:tbl>
    <w:p w:rsidR="00CB4EA0" w:rsidRDefault="00CB4EA0" w:rsidP="00CB4EA0">
      <w:pPr>
        <w:pStyle w:val="BodyText"/>
        <w:ind w:left="0"/>
      </w:pPr>
    </w:p>
    <w:p w:rsidR="00CB4EA0" w:rsidRDefault="00CB4EA0" w:rsidP="00CB4EA0">
      <w:pPr>
        <w:pStyle w:val="BodyText"/>
        <w:spacing w:before="127"/>
        <w:ind w:left="0"/>
      </w:pPr>
    </w:p>
    <w:p w:rsidR="00CB4EA0" w:rsidRDefault="00CB4EA0" w:rsidP="00CB4EA0">
      <w:pPr>
        <w:pStyle w:val="BodyText"/>
        <w:spacing w:line="276" w:lineRule="auto"/>
        <w:ind w:left="920" w:right="833"/>
        <w:jc w:val="both"/>
      </w:pPr>
      <w:r>
        <w:t>Fondi i pagave dhe i sigurimeve Shoqërore (Zëri 600-601) është realizuar në zbatim te strukturës organizative të miratuar, Nr. 225, datë 13.11.2008 “Për miratimin e strukturës, organikës dhe kategorizimin e pagave të pozicioneve të punës ku numri i përgjithshëm i punonjësve është miratuar 9 (nëntë).</w:t>
      </w:r>
    </w:p>
    <w:p w:rsidR="00CB4EA0" w:rsidRDefault="00CB4EA0" w:rsidP="00CB4EA0">
      <w:pPr>
        <w:pStyle w:val="BodyText"/>
        <w:spacing w:before="161" w:line="259" w:lineRule="auto"/>
        <w:ind w:left="920" w:right="835"/>
        <w:jc w:val="both"/>
      </w:pPr>
      <w:r>
        <w:t>Nga fondi i përgjithshëm i pagave si dhe ai i sigurimeve shoqërore është realizuar respektivisht ALL 8,216,462 për llogarine ekonomike 600 (paga), si dhe ALL 1,372,145 për llogarinë ekonomike</w:t>
      </w:r>
      <w:r>
        <w:rPr>
          <w:spacing w:val="-15"/>
        </w:rPr>
        <w:t xml:space="preserve"> </w:t>
      </w:r>
      <w:r>
        <w:t>601</w:t>
      </w:r>
      <w:r>
        <w:rPr>
          <w:spacing w:val="-15"/>
        </w:rPr>
        <w:t xml:space="preserve"> </w:t>
      </w:r>
      <w:r>
        <w:t>(kontribute</w:t>
      </w:r>
      <w:r>
        <w:rPr>
          <w:spacing w:val="-15"/>
        </w:rPr>
        <w:t xml:space="preserve"> </w:t>
      </w:r>
      <w:r>
        <w:t>në</w:t>
      </w:r>
      <w:r>
        <w:rPr>
          <w:spacing w:val="-15"/>
        </w:rPr>
        <w:t xml:space="preserve"> </w:t>
      </w:r>
      <w:r>
        <w:t>sigurimet</w:t>
      </w:r>
      <w:r>
        <w:rPr>
          <w:spacing w:val="-15"/>
        </w:rPr>
        <w:t xml:space="preserve"> </w:t>
      </w:r>
      <w:r>
        <w:t>shoqërore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shendetësore),</w:t>
      </w:r>
      <w:r>
        <w:rPr>
          <w:spacing w:val="-14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shprehura</w:t>
      </w:r>
      <w:r>
        <w:rPr>
          <w:spacing w:val="-15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>vlerë</w:t>
      </w:r>
      <w:r>
        <w:rPr>
          <w:spacing w:val="-14"/>
        </w:rPr>
        <w:t xml:space="preserve"> </w:t>
      </w:r>
      <w:r>
        <w:t>monetare në lek ose 91.4 % e fondit të planifikuar vjetor.</w:t>
      </w:r>
    </w:p>
    <w:p w:rsidR="00CB4EA0" w:rsidRDefault="00CB4EA0" w:rsidP="00CB4EA0">
      <w:pPr>
        <w:pStyle w:val="BodyText"/>
        <w:spacing w:before="159" w:line="259" w:lineRule="auto"/>
        <w:ind w:left="920" w:right="836"/>
        <w:jc w:val="both"/>
      </w:pPr>
      <w:r>
        <w:t>Fondi për shpenzime në zërin Mallra dhe Shërbime, zëri 602, për vitin 2022 është planifikuar në vlerën 700 000 mijë. Edhe për këtë zë janë bërë dy veprime rregulluese: kalim fondi nga llogaria 600</w:t>
      </w:r>
      <w:r>
        <w:rPr>
          <w:spacing w:val="-6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vlerën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lek</w:t>
      </w:r>
      <w:r>
        <w:rPr>
          <w:spacing w:val="-6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kërkesë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fonde</w:t>
      </w:r>
      <w:r>
        <w:rPr>
          <w:spacing w:val="-3"/>
        </w:rPr>
        <w:t xml:space="preserve"> </w:t>
      </w:r>
      <w:r>
        <w:t>shtesë</w:t>
      </w:r>
      <w:r>
        <w:rPr>
          <w:spacing w:val="-7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vlerën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lek,</w:t>
      </w:r>
      <w:r>
        <w:rPr>
          <w:spacing w:val="-7"/>
        </w:rPr>
        <w:t xml:space="preserve"> </w:t>
      </w:r>
      <w:r>
        <w:t>pra</w:t>
      </w:r>
      <w:r>
        <w:rPr>
          <w:spacing w:val="-7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zëri 602 ka pasur një fond prej 4 200 000 ALL, për periudhën respektive. Është realizuar vlera prej rreth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3,004,630</w:t>
      </w:r>
      <w:r>
        <w:rPr>
          <w:spacing w:val="-3"/>
        </w:rPr>
        <w:t xml:space="preserve"> </w:t>
      </w:r>
      <w:r>
        <w:t>ose</w:t>
      </w:r>
      <w:r>
        <w:rPr>
          <w:spacing w:val="-2"/>
        </w:rPr>
        <w:t xml:space="preserve"> </w:t>
      </w:r>
      <w:r>
        <w:t>71.5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planit</w:t>
      </w:r>
      <w:r>
        <w:rPr>
          <w:spacing w:val="-3"/>
        </w:rPr>
        <w:t xml:space="preserve"> </w:t>
      </w:r>
      <w:r>
        <w:t>vjetor</w:t>
      </w:r>
      <w:r>
        <w:rPr>
          <w:spacing w:val="-3"/>
        </w:rPr>
        <w:t xml:space="preserve"> </w:t>
      </w:r>
      <w:r>
        <w:t>duke</w:t>
      </w:r>
      <w:r>
        <w:rPr>
          <w:spacing w:val="-4"/>
        </w:rPr>
        <w:t xml:space="preserve"> </w:t>
      </w:r>
      <w:r>
        <w:t>respektuar</w:t>
      </w:r>
      <w:r>
        <w:rPr>
          <w:spacing w:val="-3"/>
        </w:rPr>
        <w:t xml:space="preserve"> </w:t>
      </w:r>
      <w:r>
        <w:t>kërkesat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detajuara</w:t>
      </w:r>
      <w:r>
        <w:rPr>
          <w:spacing w:val="-3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Regjistrin e Prokurimeve Publike, të konfirmuara dhe nga dega e thesarit.</w:t>
      </w:r>
    </w:p>
    <w:p w:rsidR="00CB4EA0" w:rsidRDefault="00CB4EA0" w:rsidP="00CB4EA0">
      <w:pPr>
        <w:jc w:val="both"/>
        <w:sectPr w:rsidR="00CB4EA0">
          <w:pgSz w:w="12240" w:h="15840"/>
          <w:pgMar w:top="1360" w:right="600" w:bottom="1260" w:left="520" w:header="0" w:footer="1068" w:gutter="0"/>
          <w:cols w:space="720"/>
        </w:sectPr>
      </w:pPr>
    </w:p>
    <w:p w:rsidR="00CB4EA0" w:rsidRDefault="00CB4EA0" w:rsidP="00CB4EA0">
      <w:pPr>
        <w:pStyle w:val="BodyText"/>
        <w:ind w:left="912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 wp14:anchorId="0EA11760" wp14:editId="550A80C9">
                <wp:extent cx="6114415" cy="2095500"/>
                <wp:effectExtent l="0" t="0" r="0" b="952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4415" cy="2095500"/>
                          <a:chOff x="0" y="0"/>
                          <a:chExt cx="6114415" cy="20955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2465194" y="475615"/>
                            <a:ext cx="11842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1184910">
                                <a:moveTo>
                                  <a:pt x="592076" y="0"/>
                                </a:moveTo>
                                <a:lnTo>
                                  <a:pt x="592076" y="592327"/>
                                </a:lnTo>
                                <a:lnTo>
                                  <a:pt x="218823" y="132460"/>
                                </a:lnTo>
                                <a:lnTo>
                                  <a:pt x="182341" y="164595"/>
                                </a:lnTo>
                                <a:lnTo>
                                  <a:pt x="149111" y="199017"/>
                                </a:lnTo>
                                <a:lnTo>
                                  <a:pt x="119154" y="235514"/>
                                </a:lnTo>
                                <a:lnTo>
                                  <a:pt x="92492" y="273871"/>
                                </a:lnTo>
                                <a:lnTo>
                                  <a:pt x="69148" y="313874"/>
                                </a:lnTo>
                                <a:lnTo>
                                  <a:pt x="49144" y="355308"/>
                                </a:lnTo>
                                <a:lnTo>
                                  <a:pt x="32502" y="397958"/>
                                </a:lnTo>
                                <a:lnTo>
                                  <a:pt x="19244" y="441611"/>
                                </a:lnTo>
                                <a:lnTo>
                                  <a:pt x="9393" y="486052"/>
                                </a:lnTo>
                                <a:lnTo>
                                  <a:pt x="2971" y="531066"/>
                                </a:lnTo>
                                <a:lnTo>
                                  <a:pt x="0" y="576439"/>
                                </a:lnTo>
                                <a:lnTo>
                                  <a:pt x="501" y="621957"/>
                                </a:lnTo>
                                <a:lnTo>
                                  <a:pt x="4498" y="667405"/>
                                </a:lnTo>
                                <a:lnTo>
                                  <a:pt x="12013" y="712569"/>
                                </a:lnTo>
                                <a:lnTo>
                                  <a:pt x="23067" y="757235"/>
                                </a:lnTo>
                                <a:lnTo>
                                  <a:pt x="37683" y="801188"/>
                                </a:lnTo>
                                <a:lnTo>
                                  <a:pt x="55883" y="844213"/>
                                </a:lnTo>
                                <a:lnTo>
                                  <a:pt x="77689" y="886096"/>
                                </a:lnTo>
                                <a:lnTo>
                                  <a:pt x="103124" y="926624"/>
                                </a:lnTo>
                                <a:lnTo>
                                  <a:pt x="132209" y="965580"/>
                                </a:lnTo>
                                <a:lnTo>
                                  <a:pt x="164343" y="1002080"/>
                                </a:lnTo>
                                <a:lnTo>
                                  <a:pt x="198766" y="1035327"/>
                                </a:lnTo>
                                <a:lnTo>
                                  <a:pt x="235264" y="1065299"/>
                                </a:lnTo>
                                <a:lnTo>
                                  <a:pt x="273621" y="1091974"/>
                                </a:lnTo>
                                <a:lnTo>
                                  <a:pt x="313625" y="1115329"/>
                                </a:lnTo>
                                <a:lnTo>
                                  <a:pt x="355060" y="1135343"/>
                                </a:lnTo>
                                <a:lnTo>
                                  <a:pt x="397712" y="1151994"/>
                                </a:lnTo>
                                <a:lnTo>
                                  <a:pt x="441368" y="1165259"/>
                                </a:lnTo>
                                <a:lnTo>
                                  <a:pt x="485812" y="1175116"/>
                                </a:lnTo>
                                <a:lnTo>
                                  <a:pt x="530831" y="1181544"/>
                                </a:lnTo>
                                <a:lnTo>
                                  <a:pt x="576209" y="1184520"/>
                                </a:lnTo>
                                <a:lnTo>
                                  <a:pt x="621733" y="1184022"/>
                                </a:lnTo>
                                <a:lnTo>
                                  <a:pt x="667189" y="1180027"/>
                                </a:lnTo>
                                <a:lnTo>
                                  <a:pt x="712362" y="1172515"/>
                                </a:lnTo>
                                <a:lnTo>
                                  <a:pt x="757037" y="1161462"/>
                                </a:lnTo>
                                <a:lnTo>
                                  <a:pt x="801001" y="1146847"/>
                                </a:lnTo>
                                <a:lnTo>
                                  <a:pt x="844040" y="1128648"/>
                                </a:lnTo>
                                <a:lnTo>
                                  <a:pt x="885938" y="1106842"/>
                                </a:lnTo>
                                <a:lnTo>
                                  <a:pt x="926481" y="1081407"/>
                                </a:lnTo>
                                <a:lnTo>
                                  <a:pt x="965456" y="1052322"/>
                                </a:lnTo>
                                <a:lnTo>
                                  <a:pt x="1001938" y="1020187"/>
                                </a:lnTo>
                                <a:lnTo>
                                  <a:pt x="1035169" y="985761"/>
                                </a:lnTo>
                                <a:lnTo>
                                  <a:pt x="1065126" y="949260"/>
                                </a:lnTo>
                                <a:lnTo>
                                  <a:pt x="1091788" y="910897"/>
                                </a:lnTo>
                                <a:lnTo>
                                  <a:pt x="1115132" y="870888"/>
                                </a:lnTo>
                                <a:lnTo>
                                  <a:pt x="1135136" y="829447"/>
                                </a:lnTo>
                                <a:lnTo>
                                  <a:pt x="1151778" y="786788"/>
                                </a:lnTo>
                                <a:lnTo>
                                  <a:pt x="1165035" y="743126"/>
                                </a:lnTo>
                                <a:lnTo>
                                  <a:pt x="1174886" y="698676"/>
                                </a:lnTo>
                                <a:lnTo>
                                  <a:pt x="1181309" y="653653"/>
                                </a:lnTo>
                                <a:lnTo>
                                  <a:pt x="1184280" y="608270"/>
                                </a:lnTo>
                                <a:lnTo>
                                  <a:pt x="1183778" y="562743"/>
                                </a:lnTo>
                                <a:lnTo>
                                  <a:pt x="1179781" y="517285"/>
                                </a:lnTo>
                                <a:lnTo>
                                  <a:pt x="1172267" y="472113"/>
                                </a:lnTo>
                                <a:lnTo>
                                  <a:pt x="1161213" y="427440"/>
                                </a:lnTo>
                                <a:lnTo>
                                  <a:pt x="1146597" y="383481"/>
                                </a:lnTo>
                                <a:lnTo>
                                  <a:pt x="1128397" y="340450"/>
                                </a:lnTo>
                                <a:lnTo>
                                  <a:pt x="1106591" y="298562"/>
                                </a:lnTo>
                                <a:lnTo>
                                  <a:pt x="1081156" y="258032"/>
                                </a:lnTo>
                                <a:lnTo>
                                  <a:pt x="1052070" y="219075"/>
                                </a:lnTo>
                                <a:lnTo>
                                  <a:pt x="1020048" y="182742"/>
                                </a:lnTo>
                                <a:lnTo>
                                  <a:pt x="985430" y="149389"/>
                                </a:lnTo>
                                <a:lnTo>
                                  <a:pt x="948427" y="119117"/>
                                </a:lnTo>
                                <a:lnTo>
                                  <a:pt x="909254" y="92026"/>
                                </a:lnTo>
                                <a:lnTo>
                                  <a:pt x="868121" y="68219"/>
                                </a:lnTo>
                                <a:lnTo>
                                  <a:pt x="825241" y="47796"/>
                                </a:lnTo>
                                <a:lnTo>
                                  <a:pt x="780827" y="30860"/>
                                </a:lnTo>
                                <a:lnTo>
                                  <a:pt x="735091" y="17510"/>
                                </a:lnTo>
                                <a:lnTo>
                                  <a:pt x="688246" y="7850"/>
                                </a:lnTo>
                                <a:lnTo>
                                  <a:pt x="640503" y="1979"/>
                                </a:lnTo>
                                <a:lnTo>
                                  <a:pt x="59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684017" y="475615"/>
                            <a:ext cx="373380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592455">
                                <a:moveTo>
                                  <a:pt x="373252" y="0"/>
                                </a:moveTo>
                                <a:lnTo>
                                  <a:pt x="322528" y="2175"/>
                                </a:lnTo>
                                <a:lnTo>
                                  <a:pt x="272444" y="8641"/>
                                </a:lnTo>
                                <a:lnTo>
                                  <a:pt x="223263" y="19308"/>
                                </a:lnTo>
                                <a:lnTo>
                                  <a:pt x="175244" y="34083"/>
                                </a:lnTo>
                                <a:lnTo>
                                  <a:pt x="128647" y="52877"/>
                                </a:lnTo>
                                <a:lnTo>
                                  <a:pt x="83734" y="75598"/>
                                </a:lnTo>
                                <a:lnTo>
                                  <a:pt x="40765" y="102156"/>
                                </a:lnTo>
                                <a:lnTo>
                                  <a:pt x="0" y="132460"/>
                                </a:lnTo>
                                <a:lnTo>
                                  <a:pt x="373252" y="592327"/>
                                </a:lnTo>
                                <a:lnTo>
                                  <a:pt x="373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684017" y="475615"/>
                            <a:ext cx="373380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592455">
                                <a:moveTo>
                                  <a:pt x="373252" y="592327"/>
                                </a:moveTo>
                                <a:lnTo>
                                  <a:pt x="373252" y="0"/>
                                </a:lnTo>
                                <a:lnTo>
                                  <a:pt x="322528" y="2175"/>
                                </a:lnTo>
                                <a:lnTo>
                                  <a:pt x="272444" y="8641"/>
                                </a:lnTo>
                                <a:lnTo>
                                  <a:pt x="223263" y="19308"/>
                                </a:lnTo>
                                <a:lnTo>
                                  <a:pt x="175244" y="34083"/>
                                </a:lnTo>
                                <a:lnTo>
                                  <a:pt x="128647" y="52877"/>
                                </a:lnTo>
                                <a:lnTo>
                                  <a:pt x="83734" y="75598"/>
                                </a:lnTo>
                                <a:lnTo>
                                  <a:pt x="40765" y="102156"/>
                                </a:lnTo>
                                <a:lnTo>
                                  <a:pt x="0" y="132460"/>
                                </a:lnTo>
                                <a:lnTo>
                                  <a:pt x="373252" y="592327"/>
                                </a:lnTo>
                                <a:close/>
                              </a:path>
                            </a:pathLst>
                          </a:custGeom>
                          <a:ln w="1828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56816" y="1876044"/>
                            <a:ext cx="641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286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3"/>
                                </a:lnTo>
                                <a:lnTo>
                                  <a:pt x="64007" y="62483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355847" y="1876044"/>
                            <a:ext cx="641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286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3"/>
                                </a:lnTo>
                                <a:lnTo>
                                  <a:pt x="64008" y="62483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572" y="4572"/>
                            <a:ext cx="6105525" cy="208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5525" h="2086610">
                                <a:moveTo>
                                  <a:pt x="0" y="2086355"/>
                                </a:moveTo>
                                <a:lnTo>
                                  <a:pt x="6105144" y="2086355"/>
                                </a:lnTo>
                                <a:lnTo>
                                  <a:pt x="6105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635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821179" y="135381"/>
                            <a:ext cx="248475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EA0" w:rsidRDefault="00CB4EA0" w:rsidP="00CB4EA0">
                              <w:pPr>
                                <w:spacing w:line="28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Realizimi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Shpenzimeve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Operative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047367" y="1854073"/>
                            <a:ext cx="11436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EA0" w:rsidRDefault="00CB4EA0" w:rsidP="00CB4EA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Llogaria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ekonomike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446653" y="1854073"/>
                            <a:ext cx="7702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EA0" w:rsidRDefault="00CB4EA0" w:rsidP="00CB4EA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Planifikim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vjetor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11760" id="Group 111" o:spid="_x0000_s1026" style="width:481.45pt;height:165pt;mso-position-horizontal-relative:char;mso-position-vertical-relative:line" coordsize="61144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">
                <v:shape id="Graphic 112" o:spid="_x0000_s1027" style="position:absolute;left:24651;top:4756;width:11843;height:11849;visibility:visible;mso-wrap-style:square;v-text-anchor:top" coordsize="1184275,1184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+s8QA&#10;AADcAAAADwAAAGRycy9kb3ducmV2LnhtbESPQW/CMAyF75P4D5GRuI20PXRVR0AIhsRhl3XjbjWm&#10;qWic0mRt+ffLpEm72XrP73ve7GbbiZEG3zpWkK4TEMS10y03Cr4+T88FCB+QNXaOScGDPOy2i6cN&#10;ltpN/EFjFRoRQ9iXqMCE0JdS+tqQRb92PXHUrm6wGOI6NFIPOMVw28ksSXJpseVIMNjTwVB9q75t&#10;hBzGYn9/O15ynb7LOjH2xV4ypVbLef8KItAc/s1/12cd66cZ/D4TJ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w/rPEAAAA3AAAAA8AAAAAAAAAAAAAAAAAmAIAAGRycy9k&#10;b3ducmV2LnhtbFBLBQYAAAAABAAEAPUAAACJAwAAAAA=&#10;" path="m592076,r,592327l218823,132460r-36482,32135l149111,199017r-29957,36497l92492,273871,69148,313874,49144,355308,32502,397958,19244,441611,9393,486052,2971,531066,,576439r501,45518l4498,667405r7515,45164l23067,757235r14616,43953l55883,844213r21806,41883l103124,926624r29085,38956l164343,1002080r34423,33247l235264,1065299r38357,26675l313625,1115329r41435,20014l397712,1151994r43656,13265l485812,1175116r45019,6428l576209,1184520r45524,-498l667189,1180027r45173,-7512l757037,1161462r43964,-14615l844040,1128648r41898,-21806l926481,1081407r38975,-29085l1001938,1020187r33231,-34426l1065126,949260r26662,-38363l1115132,870888r20004,-41441l1151778,786788r13257,-43662l1174886,698676r6423,-45023l1184280,608270r-502,-45527l1179781,517285r-7514,-45172l1161213,427440r-14616,-43959l1128397,340450r-21806,-41888l1081156,258032r-29086,-38957l1020048,182742,985430,149389,948427,119117,909254,92026,868121,68219,825241,47796,780827,30860,735091,17510,688246,7850,640503,1979,592076,xe" fillcolor="#5b9bd4" stroked="f">
                  <v:path arrowok="t"/>
                </v:shape>
                <v:shape id="Graphic 113" o:spid="_x0000_s1028" style="position:absolute;left:26840;top:4756;width:3733;height:5924;visibility:visible;mso-wrap-style:square;v-text-anchor:top" coordsize="373380,59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ht8IA&#10;AADcAAAADwAAAGRycy9kb3ducmV2LnhtbERP32vCMBB+H+x/CDfwbaZONqQ2lTE2UNhLtcM9HsnZ&#10;ljWXkkSt/70RhL3dx/fzitVoe3EiHzrHCmbTDASxdqbjRkG9+3pegAgR2WDvmBRcKMCqfHwoMDfu&#10;zBWdtrERKYRDjgraGIdcyqBbshimbiBO3MF5izFB30jj8ZzCbS9fsuxNWuw4NbQ40EdL+m97tAr2&#10;daeN32/077H6eeXsc4z+u1Jq8jS+L0FEGuO/+O5emzR/NofbM+kC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yG3wgAAANwAAAAPAAAAAAAAAAAAAAAAAJgCAABkcnMvZG93&#10;bnJldi54bWxQSwUGAAAAAAQABAD1AAAAhwMAAAAA&#10;" path="m373252,l322528,2175,272444,8641,223263,19308,175244,34083,128647,52877,83734,75598,40765,102156,,132460,373252,592327,373252,xe" fillcolor="#ec7c30" stroked="f">
                  <v:path arrowok="t"/>
                </v:shape>
                <v:shape id="Graphic 114" o:spid="_x0000_s1029" style="position:absolute;left:26840;top:4756;width:3733;height:5924;visibility:visible;mso-wrap-style:square;v-text-anchor:top" coordsize="373380,59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W78AA&#10;AADcAAAADwAAAGRycy9kb3ducmV2LnhtbERPTWsCMRC9C/0PYYTeNKtYka1RpCIUlIpaPA+bcXcx&#10;mSxJ1Pjvm0Kht3m8z5kvkzXiTj60jhWMhgUI4srplmsF36fNYAYiRGSNxjEpeFKA5eKlN8dSuwcf&#10;6H6MtcghHEpU0MTYlVKGqiGLYeg64sxdnLcYM/S11B4fOdwaOS6KqbTYcm5osKOPhqrr8WYVnL68&#10;eTPrtLudO5rs9v68XSer1Gs/rd5BRErxX/zn/tR5/mgCv8/kC+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ZW78AAAADcAAAADwAAAAAAAAAAAAAAAACYAgAAZHJzL2Rvd25y&#10;ZXYueG1sUEsFBgAAAAAEAAQA9QAAAIUDAAAAAA==&#10;" path="m373252,592327l373252,,322528,2175,272444,8641,223263,19308,175244,34083,128647,52877,83734,75598,40765,102156,,132460,373252,592327xe" filled="f" strokecolor="white" strokeweight="1.44pt">
                  <v:path arrowok="t"/>
                </v:shape>
                <v:shape id="Graphic 115" o:spid="_x0000_s1030" style="position:absolute;left:19568;top:18760;width:641;height:629;visibility:visible;mso-wrap-style:square;v-text-anchor:top" coordsize="6413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ZI8QA&#10;AADcAAAADwAAAGRycy9kb3ducmV2LnhtbERPTWvCQBC9C/0PyxS86SaKItE1lKJQMFhri7S3ITtN&#10;QrOzaXaN8d+7QqG3ebzPWaW9qUVHrassK4jHEQji3OqKCwUf79vRAoTzyBpry6TgSg7S9cNghYm2&#10;F36j7ugLEULYJaig9L5JpHR5SQbd2DbEgfu2rUEfYFtI3eIlhJtaTqJoLg1WHBpKbOi5pPzneDYK&#10;NtnC7uTr7jMzp3027b7mGz78KjV87J+WIDz1/l/8537RYX48g/sz4QK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UGSPEAAAA3AAAAA8AAAAAAAAAAAAAAAAAmAIAAGRycy9k&#10;b3ducmV2LnhtbFBLBQYAAAAABAAEAPUAAACJAwAAAAA=&#10;" path="m64007,l,,,62483r64007,l64007,xe" fillcolor="#5b9bd4" stroked="f">
                  <v:path arrowok="t"/>
                </v:shape>
                <v:shape id="Graphic 116" o:spid="_x0000_s1031" style="position:absolute;left:33558;top:18760;width:641;height:629;visibility:visible;mso-wrap-style:square;v-text-anchor:top" coordsize="6413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7asMA&#10;AADcAAAADwAAAGRycy9kb3ducmV2LnhtbERPTWvCQBC9C/0PyxS8mU1EpERXaYViEaE06aHHMTtm&#10;g9nZNLs18d93CwVv83ifs96OthVX6n3jWEGWpCCIK6cbrhV8lq+zJxA+IGtsHZOCG3nYbh4ma8y1&#10;G/iDrkWoRQxhn6MCE0KXS+krQxZ94jriyJ1dbzFE2NdS9zjEcNvKeZoupcWGY4PBjnaGqkvxYxWc&#10;zEs5fGdf5fvisMd94Y+33bxSavo4Pq9ABBrDXfzvftNxfraEv2fi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H7asMAAADcAAAADwAAAAAAAAAAAAAAAACYAgAAZHJzL2Rv&#10;d25yZXYueG1sUEsFBgAAAAAEAAQA9QAAAIgDAAAAAA==&#10;" path="m64008,l,,,62483r64008,l64008,xe" fillcolor="#ec7c30" stroked="f">
                  <v:path arrowok="t"/>
                </v:shape>
                <v:shape id="Graphic 117" o:spid="_x0000_s1032" style="position:absolute;left:45;top:45;width:61055;height:20866;visibility:visible;mso-wrap-style:square;v-text-anchor:top" coordsize="6105525,2086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OSMMA&#10;AADcAAAADwAAAGRycy9kb3ducmV2LnhtbERP32vCMBB+F/wfwgl7kZl2jm10RhFhMGEvdYPt8dac&#10;TbG51CTW+t+bwcC3+/h+3mI12Fb05EPjWEE+y0AQV043XCv4+ny7fwERIrLG1jEpuFCA1XI8WmCh&#10;3ZlL6nexFimEQ4EKTIxdIWWoDFkMM9cRJ27vvMWYoK+l9nhO4baVD1n2JC02nBoMdrQxVB12J6tA&#10;Y/67nc75WJryFP1heOy/P36UupsM61cQkYZ4E/+733Wanz/D3zPp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dOSMMAAADcAAAADwAAAAAAAAAAAAAAAACYAgAAZHJzL2Rv&#10;d25yZXYueG1sUEsFBgAAAAAEAAQA9QAAAIgDAAAAAA==&#10;" path="m,2086355r6105144,l6105144,,,,,2086355xe" filled="f" strokecolor="#d9d9d9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8" o:spid="_x0000_s1033" type="#_x0000_t202" style="position:absolute;left:18211;top:1353;width:24848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CB4EA0" w:rsidRDefault="00CB4EA0" w:rsidP="00CB4EA0">
                        <w:pPr>
                          <w:spacing w:line="28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Realizimi</w:t>
                        </w:r>
                        <w:r>
                          <w:rPr>
                            <w:rFonts w:ascii="Calibri"/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Shpenzimeve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Operative</w:t>
                        </w:r>
                      </w:p>
                    </w:txbxContent>
                  </v:textbox>
                </v:shape>
                <v:shape id="Textbox 119" o:spid="_x0000_s1034" type="#_x0000_t202" style="position:absolute;left:20473;top:18540;width:11437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CB4EA0" w:rsidRDefault="00CB4EA0" w:rsidP="00CB4EA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Llogaria</w:t>
                        </w:r>
                        <w:r>
                          <w:rPr>
                            <w:rFonts w:ascii="Calibri"/>
                            <w:color w:val="585858"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ekonomike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v:shape id="Textbox 120" o:spid="_x0000_s1035" type="#_x0000_t202" style="position:absolute;left:34466;top:18540;width:770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CB4EA0" w:rsidRDefault="00CB4EA0" w:rsidP="00CB4EA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Planifikim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vjetor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4EA0" w:rsidRDefault="00CB4EA0" w:rsidP="00CB4EA0">
      <w:pPr>
        <w:pStyle w:val="BodyText"/>
        <w:spacing w:before="167" w:line="273" w:lineRule="auto"/>
        <w:ind w:left="920" w:right="835"/>
        <w:jc w:val="both"/>
      </w:pPr>
      <w:r>
        <w:t>Për këtë periudhë, në realizimin e shpenzimeve operative QTATD-ja është mbështetur në realizimin e kërkesave të cilat lidhen me:</w:t>
      </w:r>
    </w:p>
    <w:p w:rsidR="00CB4EA0" w:rsidRDefault="00CB4EA0" w:rsidP="00CB4EA0">
      <w:pPr>
        <w:pStyle w:val="ListParagraph"/>
        <w:numPr>
          <w:ilvl w:val="0"/>
          <w:numId w:val="1"/>
        </w:numPr>
        <w:tabs>
          <w:tab w:val="left" w:pos="1640"/>
        </w:tabs>
        <w:spacing w:before="165" w:line="276" w:lineRule="auto"/>
        <w:ind w:right="835"/>
        <w:jc w:val="both"/>
        <w:rPr>
          <w:sz w:val="24"/>
        </w:rPr>
      </w:pPr>
      <w:r>
        <w:rPr>
          <w:sz w:val="24"/>
        </w:rPr>
        <w:t>Realizimin e shpenzimeve të detyrueshme ndaj shtetit si energji elektrike, ujë, shërbime postare, shërbime pastrimi në funksion të një veprimtarie funksionale.</w:t>
      </w:r>
    </w:p>
    <w:p w:rsidR="00CB4EA0" w:rsidRDefault="00CB4EA0" w:rsidP="00CB4EA0">
      <w:pPr>
        <w:pStyle w:val="ListParagraph"/>
        <w:numPr>
          <w:ilvl w:val="0"/>
          <w:numId w:val="1"/>
        </w:numPr>
        <w:tabs>
          <w:tab w:val="left" w:pos="1640"/>
        </w:tabs>
        <w:spacing w:before="1" w:line="276" w:lineRule="auto"/>
        <w:ind w:right="841"/>
        <w:jc w:val="both"/>
        <w:rPr>
          <w:sz w:val="24"/>
        </w:rPr>
      </w:pPr>
      <w:r>
        <w:rPr>
          <w:sz w:val="24"/>
        </w:rPr>
        <w:t>Realizimin</w:t>
      </w:r>
      <w:r>
        <w:rPr>
          <w:spacing w:val="-2"/>
          <w:sz w:val="24"/>
        </w:rPr>
        <w:t xml:space="preserve"> </w:t>
      </w:r>
      <w:r>
        <w:rPr>
          <w:sz w:val="24"/>
        </w:rPr>
        <w:t>e shpenzimeve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blerje materiale dhe shërbime</w:t>
      </w:r>
      <w:r>
        <w:rPr>
          <w:spacing w:val="-1"/>
          <w:sz w:val="24"/>
        </w:rPr>
        <w:t xml:space="preserve"> </w:t>
      </w:r>
      <w:r>
        <w:rPr>
          <w:sz w:val="24"/>
        </w:rPr>
        <w:t>sipas nevojave konkrete, për krijimin e kushteve të aktivitetit instuticional.</w:t>
      </w:r>
    </w:p>
    <w:p w:rsidR="00CB4EA0" w:rsidRDefault="00CB4EA0" w:rsidP="00CB4EA0">
      <w:pPr>
        <w:pStyle w:val="ListParagraph"/>
        <w:numPr>
          <w:ilvl w:val="0"/>
          <w:numId w:val="1"/>
        </w:numPr>
        <w:tabs>
          <w:tab w:val="left" w:pos="1640"/>
        </w:tabs>
        <w:spacing w:line="273" w:lineRule="auto"/>
        <w:ind w:right="838"/>
        <w:jc w:val="both"/>
        <w:rPr>
          <w:sz w:val="24"/>
        </w:rPr>
      </w:pPr>
      <w:r>
        <w:rPr>
          <w:sz w:val="24"/>
        </w:rPr>
        <w:t>Mbështetjen me shpenzime operative dhe realizime procedurash për zhvillimin e aktiviteteve si Honorare për trajnerët apo dietat e punonjësve me qëllim ushtrimin e kompetencave të mbikqyrjes, si dhe të bashkëpunimeve rajonale.</w:t>
      </w:r>
    </w:p>
    <w:p w:rsidR="00CB4EA0" w:rsidRDefault="00CB4EA0" w:rsidP="00CB4EA0">
      <w:pPr>
        <w:pStyle w:val="BodyText"/>
        <w:spacing w:before="164"/>
        <w:ind w:left="920"/>
        <w:jc w:val="both"/>
      </w:pPr>
      <w:r>
        <w:t>Situacion</w:t>
      </w:r>
      <w:r>
        <w:rPr>
          <w:spacing w:val="-1"/>
        </w:rPr>
        <w:t xml:space="preserve"> </w:t>
      </w:r>
      <w:r>
        <w:t>shpenzimesh</w:t>
      </w:r>
      <w:r>
        <w:rPr>
          <w:spacing w:val="-4"/>
        </w:rPr>
        <w:t xml:space="preserve"> </w:t>
      </w:r>
      <w:r>
        <w:t>Janar 2022</w:t>
      </w:r>
      <w:r>
        <w:rPr>
          <w:spacing w:val="-1"/>
        </w:rPr>
        <w:t xml:space="preserve"> </w:t>
      </w:r>
      <w:r>
        <w:t>-Dhjetor</w:t>
      </w:r>
      <w:r>
        <w:rPr>
          <w:spacing w:val="-2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rPr>
          <w:spacing w:val="-2"/>
        </w:rPr>
        <w:t>(QTATD)</w:t>
      </w:r>
    </w:p>
    <w:p w:rsidR="00CB4EA0" w:rsidRDefault="00CB4EA0" w:rsidP="00CB4EA0">
      <w:pPr>
        <w:pStyle w:val="BodyText"/>
        <w:spacing w:before="54"/>
        <w:ind w:left="0"/>
        <w:rPr>
          <w:sz w:val="20"/>
        </w:rPr>
      </w:pPr>
    </w:p>
    <w:tbl>
      <w:tblPr>
        <w:tblW w:w="0" w:type="auto"/>
        <w:tblInd w:w="950" w:type="dxa"/>
        <w:tblBorders>
          <w:top w:val="single" w:sz="12" w:space="0" w:color="2D74B5"/>
          <w:left w:val="single" w:sz="12" w:space="0" w:color="2D74B5"/>
          <w:bottom w:val="single" w:sz="12" w:space="0" w:color="2D74B5"/>
          <w:right w:val="single" w:sz="12" w:space="0" w:color="2D74B5"/>
          <w:insideH w:val="single" w:sz="12" w:space="0" w:color="2D74B5"/>
          <w:insideV w:val="single" w:sz="12" w:space="0" w:color="2D74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982"/>
        <w:gridCol w:w="961"/>
        <w:gridCol w:w="960"/>
        <w:gridCol w:w="1150"/>
        <w:gridCol w:w="979"/>
        <w:gridCol w:w="1961"/>
        <w:gridCol w:w="1298"/>
      </w:tblGrid>
      <w:tr w:rsidR="00CB4EA0" w:rsidTr="00EB3014">
        <w:trPr>
          <w:trHeight w:val="800"/>
        </w:trPr>
        <w:tc>
          <w:tcPr>
            <w:tcW w:w="1056" w:type="dxa"/>
          </w:tcPr>
          <w:p w:rsidR="00CB4EA0" w:rsidRDefault="00CB4EA0" w:rsidP="00EB301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KOD</w:t>
            </w:r>
          </w:p>
        </w:tc>
        <w:tc>
          <w:tcPr>
            <w:tcW w:w="982" w:type="dxa"/>
          </w:tcPr>
          <w:p w:rsidR="00CB4EA0" w:rsidRDefault="00CB4EA0" w:rsidP="00EB301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Gr</w:t>
            </w:r>
          </w:p>
        </w:tc>
        <w:tc>
          <w:tcPr>
            <w:tcW w:w="961" w:type="dxa"/>
          </w:tcPr>
          <w:p w:rsidR="00CB4EA0" w:rsidRDefault="00CB4EA0" w:rsidP="00EB3014"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Prog</w:t>
            </w:r>
          </w:p>
        </w:tc>
        <w:tc>
          <w:tcPr>
            <w:tcW w:w="960" w:type="dxa"/>
          </w:tcPr>
          <w:p w:rsidR="00CB4EA0" w:rsidRDefault="00CB4EA0" w:rsidP="00EB3014">
            <w:pPr>
              <w:pStyle w:val="TableParagraph"/>
              <w:spacing w:line="275" w:lineRule="exact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Kap</w:t>
            </w:r>
          </w:p>
        </w:tc>
        <w:tc>
          <w:tcPr>
            <w:tcW w:w="1150" w:type="dxa"/>
          </w:tcPr>
          <w:p w:rsidR="00CB4EA0" w:rsidRDefault="00CB4EA0" w:rsidP="00EB3014">
            <w:pPr>
              <w:pStyle w:val="TableParagraph"/>
              <w:spacing w:line="275" w:lineRule="exact"/>
              <w:ind w:left="26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Projekt</w:t>
            </w:r>
          </w:p>
        </w:tc>
        <w:tc>
          <w:tcPr>
            <w:tcW w:w="979" w:type="dxa"/>
          </w:tcPr>
          <w:p w:rsidR="00CB4EA0" w:rsidRDefault="00CB4EA0" w:rsidP="00EB3014"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Art.</w:t>
            </w:r>
          </w:p>
        </w:tc>
        <w:tc>
          <w:tcPr>
            <w:tcW w:w="1961" w:type="dxa"/>
            <w:tcBorders>
              <w:right w:val="single" w:sz="12" w:space="0" w:color="000000"/>
            </w:tcBorders>
          </w:tcPr>
          <w:p w:rsidR="00CB4EA0" w:rsidRDefault="00CB4EA0" w:rsidP="00EB3014">
            <w:pPr>
              <w:pStyle w:val="TableParagraph"/>
              <w:spacing w:line="275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2"/>
                <w:sz w:val="24"/>
              </w:rPr>
              <w:t xml:space="preserve"> vjetor</w:t>
            </w:r>
          </w:p>
        </w:tc>
        <w:tc>
          <w:tcPr>
            <w:tcW w:w="1298" w:type="dxa"/>
            <w:tcBorders>
              <w:left w:val="single" w:sz="12" w:space="0" w:color="000000"/>
            </w:tcBorders>
            <w:textDirection w:val="btLr"/>
          </w:tcPr>
          <w:p w:rsidR="00CB4EA0" w:rsidRDefault="00CB4EA0" w:rsidP="00EB3014">
            <w:pPr>
              <w:pStyle w:val="TableParagraph"/>
              <w:spacing w:before="115"/>
              <w:rPr>
                <w:sz w:val="24"/>
              </w:rPr>
            </w:pPr>
          </w:p>
          <w:p w:rsidR="00CB4EA0" w:rsidRDefault="00CB4EA0" w:rsidP="00EB3014">
            <w:pPr>
              <w:pStyle w:val="TableParagraph"/>
              <w:spacing w:before="1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Shpenz</w:t>
            </w:r>
          </w:p>
          <w:p w:rsidR="00CB4EA0" w:rsidRDefault="00CB4EA0" w:rsidP="00EB3014">
            <w:pPr>
              <w:pStyle w:val="TableParagraph"/>
              <w:spacing w:before="7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.thesari</w:t>
            </w:r>
          </w:p>
        </w:tc>
      </w:tr>
      <w:tr w:rsidR="00CB4EA0" w:rsidTr="00EB3014">
        <w:trPr>
          <w:trHeight w:val="316"/>
        </w:trPr>
        <w:tc>
          <w:tcPr>
            <w:tcW w:w="1056" w:type="dxa"/>
            <w:tcBorders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1010140</w:t>
            </w:r>
          </w:p>
        </w:tc>
        <w:tc>
          <w:tcPr>
            <w:tcW w:w="982" w:type="dxa"/>
            <w:tcBorders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70" w:lineRule="exact"/>
              <w:ind w:right="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  <w:tcBorders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01110</w:t>
            </w:r>
          </w:p>
        </w:tc>
        <w:tc>
          <w:tcPr>
            <w:tcW w:w="960" w:type="dxa"/>
            <w:tcBorders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70" w:lineRule="exact"/>
              <w:ind w:left="8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50" w:type="dxa"/>
            <w:tcBorders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75" w:lineRule="exact"/>
              <w:ind w:left="40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91001AB</w:t>
            </w:r>
          </w:p>
        </w:tc>
        <w:tc>
          <w:tcPr>
            <w:tcW w:w="979" w:type="dxa"/>
            <w:tcBorders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75" w:lineRule="exact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600</w:t>
            </w:r>
          </w:p>
        </w:tc>
        <w:tc>
          <w:tcPr>
            <w:tcW w:w="1961" w:type="dxa"/>
            <w:tcBorders>
              <w:bottom w:val="single" w:sz="2" w:space="0" w:color="9CC2E4"/>
              <w:right w:val="single" w:sz="12" w:space="0" w:color="000000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8,985,000</w:t>
            </w:r>
          </w:p>
        </w:tc>
        <w:tc>
          <w:tcPr>
            <w:tcW w:w="1298" w:type="dxa"/>
            <w:tcBorders>
              <w:left w:val="single" w:sz="12" w:space="0" w:color="000000"/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8,216,463</w:t>
            </w:r>
          </w:p>
        </w:tc>
      </w:tr>
      <w:tr w:rsidR="00CB4EA0" w:rsidTr="00EB3014">
        <w:trPr>
          <w:trHeight w:val="314"/>
        </w:trPr>
        <w:tc>
          <w:tcPr>
            <w:tcW w:w="1056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1010140</w:t>
            </w:r>
          </w:p>
        </w:tc>
        <w:tc>
          <w:tcPr>
            <w:tcW w:w="982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01110</w:t>
            </w:r>
          </w:p>
        </w:tc>
        <w:tc>
          <w:tcPr>
            <w:tcW w:w="960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8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50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40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91001AB</w:t>
            </w:r>
          </w:p>
        </w:tc>
        <w:tc>
          <w:tcPr>
            <w:tcW w:w="979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601</w:t>
            </w:r>
          </w:p>
        </w:tc>
        <w:tc>
          <w:tcPr>
            <w:tcW w:w="1961" w:type="dxa"/>
            <w:tcBorders>
              <w:top w:val="single" w:sz="2" w:space="0" w:color="9CC2E4"/>
              <w:bottom w:val="single" w:sz="2" w:space="0" w:color="9CC2E4"/>
              <w:right w:val="single" w:sz="12" w:space="0" w:color="000000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1,615,000</w:t>
            </w:r>
          </w:p>
        </w:tc>
        <w:tc>
          <w:tcPr>
            <w:tcW w:w="1298" w:type="dxa"/>
            <w:tcBorders>
              <w:top w:val="single" w:sz="2" w:space="0" w:color="9CC2E4"/>
              <w:left w:val="single" w:sz="12" w:space="0" w:color="000000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1,372,145</w:t>
            </w:r>
          </w:p>
        </w:tc>
      </w:tr>
      <w:tr w:rsidR="00CB4EA0" w:rsidTr="00EB3014">
        <w:trPr>
          <w:trHeight w:val="316"/>
        </w:trPr>
        <w:tc>
          <w:tcPr>
            <w:tcW w:w="1056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1010140</w:t>
            </w:r>
          </w:p>
        </w:tc>
        <w:tc>
          <w:tcPr>
            <w:tcW w:w="982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01110</w:t>
            </w:r>
          </w:p>
        </w:tc>
        <w:tc>
          <w:tcPr>
            <w:tcW w:w="960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68" w:lineRule="exact"/>
              <w:ind w:left="8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50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68" w:lineRule="exact"/>
              <w:ind w:left="40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91001AB</w:t>
            </w:r>
          </w:p>
        </w:tc>
        <w:tc>
          <w:tcPr>
            <w:tcW w:w="979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602</w:t>
            </w:r>
          </w:p>
        </w:tc>
        <w:tc>
          <w:tcPr>
            <w:tcW w:w="1961" w:type="dxa"/>
            <w:tcBorders>
              <w:top w:val="single" w:sz="2" w:space="0" w:color="9CC2E4"/>
              <w:bottom w:val="single" w:sz="2" w:space="0" w:color="9CC2E4"/>
              <w:right w:val="single" w:sz="12" w:space="0" w:color="000000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4,200,000</w:t>
            </w:r>
          </w:p>
        </w:tc>
        <w:tc>
          <w:tcPr>
            <w:tcW w:w="1298" w:type="dxa"/>
            <w:tcBorders>
              <w:top w:val="single" w:sz="2" w:space="0" w:color="9CC2E4"/>
              <w:left w:val="single" w:sz="12" w:space="0" w:color="000000"/>
              <w:bottom w:val="single" w:sz="2" w:space="0" w:color="9CC2E4"/>
            </w:tcBorders>
            <w:shd w:val="clear" w:color="auto" w:fill="DEEAF6"/>
          </w:tcPr>
          <w:p w:rsidR="00CB4EA0" w:rsidRDefault="00CB4EA0" w:rsidP="00EB3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3,004,630</w:t>
            </w:r>
          </w:p>
        </w:tc>
      </w:tr>
      <w:tr w:rsidR="00CB4EA0" w:rsidTr="00EB3014">
        <w:trPr>
          <w:trHeight w:val="314"/>
        </w:trPr>
        <w:tc>
          <w:tcPr>
            <w:tcW w:w="1056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1010140</w:t>
            </w:r>
          </w:p>
        </w:tc>
        <w:tc>
          <w:tcPr>
            <w:tcW w:w="982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01110</w:t>
            </w:r>
          </w:p>
        </w:tc>
        <w:tc>
          <w:tcPr>
            <w:tcW w:w="960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8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50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40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91001AB</w:t>
            </w:r>
          </w:p>
        </w:tc>
        <w:tc>
          <w:tcPr>
            <w:tcW w:w="979" w:type="dxa"/>
            <w:tcBorders>
              <w:top w:val="single" w:sz="2" w:space="0" w:color="9CC2E4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606</w:t>
            </w:r>
          </w:p>
        </w:tc>
        <w:tc>
          <w:tcPr>
            <w:tcW w:w="1961" w:type="dxa"/>
            <w:tcBorders>
              <w:top w:val="single" w:sz="2" w:space="0" w:color="9CC2E4"/>
              <w:bottom w:val="single" w:sz="2" w:space="0" w:color="9CC2E4"/>
              <w:right w:val="single" w:sz="12" w:space="0" w:color="000000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130,000</w:t>
            </w:r>
          </w:p>
        </w:tc>
        <w:tc>
          <w:tcPr>
            <w:tcW w:w="1298" w:type="dxa"/>
            <w:tcBorders>
              <w:top w:val="single" w:sz="2" w:space="0" w:color="9CC2E4"/>
              <w:left w:val="single" w:sz="12" w:space="0" w:color="000000"/>
              <w:bottom w:val="single" w:sz="2" w:space="0" w:color="9CC2E4"/>
            </w:tcBorders>
          </w:tcPr>
          <w:p w:rsidR="00CB4EA0" w:rsidRDefault="00CB4EA0" w:rsidP="00EB3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130,000</w:t>
            </w:r>
          </w:p>
        </w:tc>
      </w:tr>
    </w:tbl>
    <w:p w:rsidR="00CB4EA0" w:rsidRDefault="00CB4EA0" w:rsidP="00CB4EA0">
      <w:pPr>
        <w:pStyle w:val="BodyText"/>
        <w:spacing w:before="196"/>
        <w:ind w:left="0"/>
      </w:pPr>
    </w:p>
    <w:p w:rsidR="00CB4EA0" w:rsidRDefault="00CB4EA0" w:rsidP="00CB4EA0">
      <w:pPr>
        <w:pStyle w:val="BodyText"/>
        <w:spacing w:line="276" w:lineRule="auto"/>
        <w:ind w:left="920" w:right="836"/>
        <w:jc w:val="both"/>
      </w:pPr>
      <w:bookmarkStart w:id="0" w:name="_GoBack"/>
      <w:bookmarkEnd w:id="0"/>
      <w:r>
        <w:t>Per vitin 2022 QTATD ka rikthyer zhvillimin e trajnimeve në sallë dhe rrjedhimisht janë rritur orët e trajnimit. QTATD zhvillon trajnime në 3 rajone për administratën tatimore dhe në 5 degë për administratën doganore. Me vendimin e Bordit të QTATD nr.2, datë 05.05.2022 u përcaktua</w:t>
      </w:r>
      <w:r>
        <w:rPr>
          <w:spacing w:val="-6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kalendar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veçantë</w:t>
      </w:r>
      <w:r>
        <w:rPr>
          <w:spacing w:val="-3"/>
        </w:rPr>
        <w:t xml:space="preserve"> </w:t>
      </w:r>
      <w:r>
        <w:t>shtesë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trajnimin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nëpunësve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strukturave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hetimit</w:t>
      </w:r>
      <w:r>
        <w:rPr>
          <w:spacing w:val="-4"/>
        </w:rPr>
        <w:t xml:space="preserve"> </w:t>
      </w:r>
      <w:r>
        <w:t>tatimor me 19 tema me një shtesë prej 114 orë.</w:t>
      </w:r>
    </w:p>
    <w:p w:rsidR="00D6339D" w:rsidRDefault="00D6339D"/>
    <w:sectPr w:rsidR="00D6339D">
      <w:pgSz w:w="12240" w:h="15840"/>
      <w:pgMar w:top="1440" w:right="600" w:bottom="1260" w:left="520" w:header="0" w:footer="10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F639B"/>
    <w:multiLevelType w:val="hybridMultilevel"/>
    <w:tmpl w:val="F73A1948"/>
    <w:lvl w:ilvl="0" w:tplc="67303BB2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8A1A8FE6">
      <w:numFmt w:val="bullet"/>
      <w:lvlText w:val="•"/>
      <w:lvlJc w:val="left"/>
      <w:pPr>
        <w:ind w:left="2588" w:hanging="360"/>
      </w:pPr>
      <w:rPr>
        <w:rFonts w:hint="default"/>
        <w:lang w:val="sq-AL" w:eastAsia="en-US" w:bidi="ar-SA"/>
      </w:rPr>
    </w:lvl>
    <w:lvl w:ilvl="2" w:tplc="08D67700">
      <w:numFmt w:val="bullet"/>
      <w:lvlText w:val="•"/>
      <w:lvlJc w:val="left"/>
      <w:pPr>
        <w:ind w:left="3536" w:hanging="360"/>
      </w:pPr>
      <w:rPr>
        <w:rFonts w:hint="default"/>
        <w:lang w:val="sq-AL" w:eastAsia="en-US" w:bidi="ar-SA"/>
      </w:rPr>
    </w:lvl>
    <w:lvl w:ilvl="3" w:tplc="D9C851D4">
      <w:numFmt w:val="bullet"/>
      <w:lvlText w:val="•"/>
      <w:lvlJc w:val="left"/>
      <w:pPr>
        <w:ind w:left="4484" w:hanging="360"/>
      </w:pPr>
      <w:rPr>
        <w:rFonts w:hint="default"/>
        <w:lang w:val="sq-AL" w:eastAsia="en-US" w:bidi="ar-SA"/>
      </w:rPr>
    </w:lvl>
    <w:lvl w:ilvl="4" w:tplc="8E1E8570">
      <w:numFmt w:val="bullet"/>
      <w:lvlText w:val="•"/>
      <w:lvlJc w:val="left"/>
      <w:pPr>
        <w:ind w:left="5432" w:hanging="360"/>
      </w:pPr>
      <w:rPr>
        <w:rFonts w:hint="default"/>
        <w:lang w:val="sq-AL" w:eastAsia="en-US" w:bidi="ar-SA"/>
      </w:rPr>
    </w:lvl>
    <w:lvl w:ilvl="5" w:tplc="A0E031CC">
      <w:numFmt w:val="bullet"/>
      <w:lvlText w:val="•"/>
      <w:lvlJc w:val="left"/>
      <w:pPr>
        <w:ind w:left="6380" w:hanging="360"/>
      </w:pPr>
      <w:rPr>
        <w:rFonts w:hint="default"/>
        <w:lang w:val="sq-AL" w:eastAsia="en-US" w:bidi="ar-SA"/>
      </w:rPr>
    </w:lvl>
    <w:lvl w:ilvl="6" w:tplc="C220F53C">
      <w:numFmt w:val="bullet"/>
      <w:lvlText w:val="•"/>
      <w:lvlJc w:val="left"/>
      <w:pPr>
        <w:ind w:left="7328" w:hanging="360"/>
      </w:pPr>
      <w:rPr>
        <w:rFonts w:hint="default"/>
        <w:lang w:val="sq-AL" w:eastAsia="en-US" w:bidi="ar-SA"/>
      </w:rPr>
    </w:lvl>
    <w:lvl w:ilvl="7" w:tplc="B21ED348">
      <w:numFmt w:val="bullet"/>
      <w:lvlText w:val="•"/>
      <w:lvlJc w:val="left"/>
      <w:pPr>
        <w:ind w:left="8276" w:hanging="360"/>
      </w:pPr>
      <w:rPr>
        <w:rFonts w:hint="default"/>
        <w:lang w:val="sq-AL" w:eastAsia="en-US" w:bidi="ar-SA"/>
      </w:rPr>
    </w:lvl>
    <w:lvl w:ilvl="8" w:tplc="F38872C6">
      <w:numFmt w:val="bullet"/>
      <w:lvlText w:val="•"/>
      <w:lvlJc w:val="left"/>
      <w:pPr>
        <w:ind w:left="9224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9"/>
    <w:rsid w:val="00123889"/>
    <w:rsid w:val="00652F45"/>
    <w:rsid w:val="00CB4EA0"/>
    <w:rsid w:val="00D6339D"/>
    <w:rsid w:val="00F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DA304-00FC-4865-9826-6DD20E8C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4EA0"/>
    <w:pPr>
      <w:widowControl w:val="0"/>
      <w:autoSpaceDE w:val="0"/>
      <w:autoSpaceDN w:val="0"/>
      <w:spacing w:after="0" w:line="240" w:lineRule="auto"/>
      <w:ind w:left="1640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CB4EA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1"/>
    <w:qFormat/>
    <w:rsid w:val="00CB4EA0"/>
    <w:pPr>
      <w:widowControl w:val="0"/>
      <w:autoSpaceDE w:val="0"/>
      <w:autoSpaceDN w:val="0"/>
      <w:spacing w:after="0" w:line="240" w:lineRule="auto"/>
      <w:ind w:left="1640" w:hanging="360"/>
    </w:pPr>
    <w:rPr>
      <w:rFonts w:ascii="Times New Roman" w:eastAsia="Times New Roman" w:hAnsi="Times New Roman" w:cs="Times New Roman"/>
      <w:lang w:val="sq-AL"/>
    </w:rPr>
  </w:style>
  <w:style w:type="paragraph" w:customStyle="1" w:styleId="TableParagraph">
    <w:name w:val="Table Paragraph"/>
    <w:basedOn w:val="Normal"/>
    <w:uiPriority w:val="1"/>
    <w:qFormat/>
    <w:rsid w:val="00CB4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2023-12-18T13:06:00Z</dcterms:created>
  <dcterms:modified xsi:type="dcterms:W3CDTF">2023-12-18T13:09:00Z</dcterms:modified>
</cp:coreProperties>
</file>